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59FB0FB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8B5E56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Нова Црња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168FAE49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B5E56">
        <w:rPr>
          <w:rFonts w:ascii="Times New Roman" w:hAnsi="Times New Roman"/>
          <w:spacing w:val="10"/>
          <w:sz w:val="24"/>
          <w:szCs w:val="24"/>
          <w:lang w:val="sr-Cyrl-RS"/>
        </w:rPr>
        <w:t>општине Нова Црња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7529D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B5E56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4</cp:revision>
  <cp:lastPrinted>2024-07-24T12:47:00Z</cp:lastPrinted>
  <dcterms:created xsi:type="dcterms:W3CDTF">2025-06-09T06:17:00Z</dcterms:created>
  <dcterms:modified xsi:type="dcterms:W3CDTF">2025-06-09T07:20:00Z</dcterms:modified>
</cp:coreProperties>
</file>